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 Target="docProps/core.xml" Type="http://schemas.openxmlformats.org/package/2006/relationships/metadata/core-properties" Id="rId2"/><Relationship Target="word/document.xml" Type="http://schemas.openxmlformats.org/officeDocument/2006/relationships/officeDocument" Id="rId1"/><Relationship Target="docProps/custom.xml" Type="http://schemas.openxmlformats.org/officeDocument/2006/relationships/custom-properties" Id="rId4"/></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xmlns:w16se="http://schemas.microsoft.com/office/word/2015/wordml/symex" mc:Ignorable="w14 w15 w16se wp14">
  <w:body>
    <w:p>
      <w:pPr>
        <w:pStyle w:val="t1"/>
        <w:snapToGrid w:val="true"/>
        <w:spacing w:before="240" w:after="60"/>
        <w:ind/>
        <w:jc w:val="center"/>
        <w:rPr>
          <w:rFonts w:ascii="宋体" w:hAnsi="宋体" w:eastAsia="宋体"/>
        </w:rPr>
      </w:pPr>
      <w:r>
        <w:rPr>
          <w:rFonts w:ascii="宋体" w:hAnsi="宋体" w:eastAsia="宋体"/>
        </w:rPr>
      </w:r>
      <w:r>
        <w:rPr>
          <w:rFonts w:ascii="宋体" w:hAnsi="宋体" w:eastAsia="宋体"/>
          <w:b w:val="true"/>
          <w:bCs w:val="true"/>
        </w:rPr>
        <w:t>努力终将收获花开</w:t>
      </w:r>
    </w:p>
    <w:p>
      <w:pPr>
        <w:snapToGrid w:val="false"/>
        <w:spacing/>
        <w:ind/>
        <w:jc w:val="both"/>
        <w:rPr>
          <w:rFonts w:ascii="宋体" w:hAnsi="宋体" w:eastAsia="宋体"/>
          <w:sz w:val="21"/>
          <w:szCs w:val="21"/>
        </w:rPr>
      </w:pPr>
      <w:r>
        <w:rPr>
          <w:rFonts w:ascii="宋体" w:hAnsi="宋体" w:eastAsia="宋体"/>
          <w:sz w:val="21"/>
          <w:szCs w:val="21"/>
        </w:rPr>
      </w:r>
    </w:p>
    <w:p>
      <w:pPr>
        <w:pStyle w:val="t2"/>
        <w:snapToGrid w:val="true"/>
        <w:spacing w:before="240" w:after="60" w:line="312" w:lineRule="auto"/>
        <w:ind/>
        <w:jc w:val="right"/>
        <w:rPr>
          <w:rFonts w:ascii="宋体" w:hAnsi="宋体" w:eastAsia="宋体"/>
        </w:rPr>
      </w:pPr>
      <w:r>
        <w:rPr>
          <w:rFonts w:ascii="宋体" w:hAnsi="宋体" w:eastAsia="宋体"/>
        </w:rPr>
      </w:r>
      <w:r>
        <w:rPr>
          <w:rFonts w:ascii="宋体" w:hAnsi="宋体" w:eastAsia="宋体"/>
          <w:b w:val="true"/>
          <w:bCs w:val="true"/>
        </w:rPr>
        <w:t>——15生工二班考研率达56％</w:t>
      </w:r>
    </w:p>
    <w:p>
      <w:pPr>
        <w:snapToGrid w:val="false"/>
        <w:spacing/>
        <w:ind/>
        <w:jc w:val="both"/>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2019届研究生录取已落下帷幕，我校捷报频传，再创佳绩！生命科学学院的考研率达</w:t>
      </w:r>
      <w:r>
        <w:rPr>
          <w:rFonts w:ascii="Calibri" w:hAnsi="Calibri" w:eastAsia="Calibri"/>
          <w:sz w:val="21"/>
          <w:szCs w:val="21"/>
        </w:rPr>
        <w:t>37.87%</w:t>
      </w:r>
      <w:r>
        <w:rPr>
          <w:rFonts w:ascii="宋体" w:hAnsi="宋体" w:eastAsia="宋体"/>
          <w:sz w:val="21"/>
          <w:szCs w:val="21"/>
        </w:rPr>
        <w:t>，其中</w:t>
      </w:r>
      <w:r>
        <w:rPr>
          <w:rFonts w:ascii="Calibri" w:hAnsi="Calibri" w:eastAsia="Calibri"/>
          <w:sz w:val="21"/>
          <w:szCs w:val="21"/>
        </w:rPr>
        <w:t>15</w:t>
      </w:r>
      <w:r>
        <w:rPr>
          <w:rFonts w:ascii="宋体" w:hAnsi="宋体" w:eastAsia="宋体"/>
          <w:sz w:val="21"/>
          <w:szCs w:val="21"/>
        </w:rPr>
        <w:t>生工二班的考研率达</w:t>
      </w:r>
      <w:r>
        <w:rPr>
          <w:rFonts w:ascii="Calibri" w:hAnsi="Calibri" w:eastAsia="Calibri"/>
          <w:sz w:val="21"/>
          <w:szCs w:val="21"/>
        </w:rPr>
        <w:t>56</w:t>
      </w:r>
      <w:r>
        <w:rPr>
          <w:rFonts w:ascii="宋体" w:hAnsi="宋体" w:eastAsia="宋体"/>
          <w:sz w:val="21"/>
          <w:szCs w:val="21"/>
        </w:rPr>
        <w:t>％。毋庸置疑，这是生命科学学院全体师生尤其是</w:t>
      </w:r>
      <w:r>
        <w:rPr>
          <w:rFonts w:ascii="Calibri" w:hAnsi="Calibri" w:eastAsia="Calibri"/>
          <w:sz w:val="21"/>
          <w:szCs w:val="21"/>
        </w:rPr>
        <w:t>15</w:t>
      </w:r>
      <w:r>
        <w:rPr>
          <w:rFonts w:ascii="宋体" w:hAnsi="宋体" w:eastAsia="宋体"/>
          <w:sz w:val="21"/>
          <w:szCs w:val="21"/>
        </w:rPr>
        <w:t>级生工二班的同学们共同努力的结果。</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pPr>
      <w:r>
        <w:rPr>
          <w:rFonts w:ascii="微软雅黑" w:hAnsi="微软雅黑" w:eastAsia="微软雅黑"/>
          <w:sz w:val="24"/>
          <w:szCs w:val="24"/>
        </w:rPr>
      </w:r>
      <w:r>
        <w:rPr>
          <w:rFonts w:ascii="宋体" w:hAnsi="宋体" w:eastAsia="宋体"/>
          <w:sz w:val="21"/>
          <w:szCs w:val="21"/>
        </w:rPr>
        <w:t>当被问及凭何取此成绩时，生科</w:t>
      </w:r>
      <w:r>
        <w:rPr>
          <w:rFonts w:ascii="宋体" w:hAnsi="宋体" w:eastAsia="宋体"/>
          <w:sz w:val="21"/>
          <w:szCs w:val="21"/>
        </w:rPr>
        <w:t>院领导</w:t>
      </w:r>
      <w:r>
        <w:rPr>
          <w:rFonts w:ascii="宋体" w:hAnsi="宋体" w:eastAsia="宋体"/>
          <w:sz w:val="21"/>
          <w:szCs w:val="21"/>
        </w:rPr>
        <w:t>及</w:t>
      </w:r>
      <w:r>
        <w:rPr>
          <w:rFonts w:ascii="宋体" w:hAnsi="宋体" w:eastAsia="宋体"/>
          <w:sz w:val="21"/>
          <w:szCs w:val="21"/>
        </w:rPr>
        <w:t>老师们不约而同地做出了类似回答。</w:t>
      </w:r>
      <w:r>
        <w:rPr>
          <w:rFonts w:ascii="宋体" w:hAnsi="宋体" w:eastAsia="宋体"/>
          <w:color w:val="000000"/>
          <w:sz w:val="21"/>
          <w:szCs w:val="21"/>
        </w:rPr>
        <w:t>学生考研是学校和学院尤为重视的一项工作，为了做好这一工作，生科院全体必须上下一心，为考生做好一系列保障工作。</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color w:val="000000"/>
          <w:sz w:val="21"/>
          <w:szCs w:val="21"/>
        </w:rPr>
        <w:t>生科院党政领导、系主任、教务办主任、学工办主任以及辅导员、各班级班主任、各专业教师不定期深入</w:t>
      </w:r>
      <w:r>
        <w:rPr>
          <w:rFonts w:ascii="Calibri" w:hAnsi="Calibri" w:eastAsia="Calibri"/>
          <w:color w:val="000000"/>
          <w:sz w:val="21"/>
          <w:szCs w:val="21"/>
        </w:rPr>
        <w:t>15</w:t>
      </w:r>
      <w:r>
        <w:rPr>
          <w:rFonts w:ascii="宋体" w:hAnsi="宋体" w:eastAsia="宋体"/>
          <w:color w:val="000000"/>
          <w:sz w:val="21"/>
          <w:szCs w:val="21"/>
        </w:rPr>
        <w:t>级各班，以优良的教风带动学风，以严格的管理促进学风，以周全的服务维护学风。除此之外，他们走进课堂，走进学生班会，走进宿舍，深入了解并设法解决学生中存在的问题及听取反馈的意见，为</w:t>
      </w:r>
      <w:r>
        <w:rPr>
          <w:rFonts w:ascii="Calibri" w:hAnsi="Calibri" w:eastAsia="Calibri"/>
          <w:color w:val="000000"/>
          <w:sz w:val="21"/>
          <w:szCs w:val="21"/>
        </w:rPr>
        <w:t>15</w:t>
      </w:r>
      <w:r>
        <w:rPr>
          <w:rFonts w:ascii="宋体" w:hAnsi="宋体" w:eastAsia="宋体"/>
          <w:color w:val="000000"/>
          <w:sz w:val="21"/>
          <w:szCs w:val="21"/>
        </w:rPr>
        <w:t>级各位备考的同学们排忧解难提供了良好的学习环境。</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color w:val="000000"/>
          <w:sz w:val="21"/>
          <w:szCs w:val="21"/>
        </w:rPr>
        <w:t>15级生工二班的班主任王能强老师对班级的管理和学生成长的引导呕心沥血；密切关注学生生活，努力构建团结友爱的班集体；定期与</w:t>
      </w:r>
      <w:r>
        <w:rPr>
          <w:rFonts w:ascii="宋体" w:hAnsi="宋体" w:eastAsia="宋体"/>
          <w:sz w:val="21"/>
          <w:szCs w:val="21"/>
        </w:rPr>
        <w:t>班委交流，了解班级动态情况；不定期和学生进行谈心谈话，关注学生思想动态情况；深入了解班级每一位同学的性格及情绪变化、学习情况、家庭状况，并对发生突发状况的同学，给予及时的关心和帮助；尤其关注性格比较内敛的同学，鼓励引导他们积极参与到班集体活动中，营造团结有爱互帮互助的班风。</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在生活中，王能强老师平易近人，对学生关爱有加，但在学业方面，对学生要求十分严格：在召开的主题班会上，他和班委一起制定了奖惩制度，以增强同学们的学习意识，端正学习态度。他还大力鼓励学生考研，并邀请成功考取研究生的学长学姐来分享考研感想和介绍学习经验。及时的解答学生们对专业知识、考研方向的疑惑也在很大程度上帮助学生确立学习目标，积极进取。此外，生命科学学院成立了以系主任王能强老师、各任课老师的考研答疑小组，定期为学生解答学习过程中的问题。</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jc w:val="both"/>
        <w:rPr>
          <w:rFonts w:ascii="宋体" w:hAnsi="宋体" w:eastAsia="宋体"/>
          <w:sz w:val="28"/>
          <w:szCs w:val="28"/>
        </w:rPr>
      </w:pPr>
      <w:r>
        <w:rPr>
          <w:rFonts w:ascii="宋体" w:hAnsi="宋体" w:eastAsia="宋体"/>
          <w:sz w:val="28"/>
          <w:szCs w:val="28"/>
        </w:rPr>
      </w:r>
      <w:r>
        <w:rPr>
          <w:rFonts w:ascii="微软雅黑" w:hAnsi="微软雅黑" w:eastAsia="微软雅黑"/>
          <w:sz w:val="24"/>
          <w:szCs w:val="24"/>
        </w:rPr>
        <w:drawing>
          <wp:inline distT="0" distB="0" distL="0" distR="0">
            <wp:extent cx="4495800" cy="2533650"/>
            <wp:effectExtent l="0" t="0" r="0" b="0"/>
            <wp:docPr id="1"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95800" cy="2533650"/>
                    </a:xfrm>
                    <a:prstGeom prst="rect">
                      <a:avLst/>
                    </a:prstGeom>
                  </pic:spPr>
                </pic:pic>
              </a:graphicData>
            </a:graphic>
          </wp:inline>
        </w:drawing>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在良师王能强老师的关怀引导下，</w:t>
      </w:r>
      <w:r>
        <w:rPr>
          <w:rFonts w:ascii="Calibri" w:hAnsi="Calibri" w:eastAsia="Calibri"/>
          <w:sz w:val="21"/>
          <w:szCs w:val="21"/>
        </w:rPr>
        <w:t>15</w:t>
      </w:r>
      <w:r>
        <w:rPr>
          <w:rFonts w:ascii="宋体" w:hAnsi="宋体" w:eastAsia="宋体"/>
          <w:sz w:val="21"/>
          <w:szCs w:val="21"/>
        </w:rPr>
        <w:t>生工二班形成了团结有爱互助上进的班风。在业余生活中，班级举办各种各样的活动，加深同学们间的感情；在紧张的备考之余，各寝室中举行话谈活动排解学习中产生的各种负面情绪，大家相互鼓励，交流和分享学习经验。</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在生科院领导和老师们的引导和帮助下，同学们发奋图强，其努力成果也是显而易见的。</w:t>
      </w:r>
    </w:p>
    <w:p>
      <w:pPr>
        <w:snapToGrid w:val="false"/>
        <w:spacing/>
        <w:ind/>
        <w:jc w:val="left"/>
        <w:rPr>
          <w:rFonts w:ascii="宋体" w:hAnsi="宋体" w:eastAsia="宋体"/>
          <w:sz w:val="21"/>
          <w:szCs w:val="21"/>
        </w:rPr>
      </w:pPr>
      <w:r>
        <w:rPr>
          <w:rFonts w:ascii="宋体" w:hAnsi="宋体" w:eastAsia="宋体"/>
          <w:sz w:val="21"/>
          <w:szCs w:val="21"/>
        </w:rPr>
      </w:r>
      <w:r>
        <w:rPr>
          <w:rFonts w:ascii="微软雅黑" w:hAnsi="微软雅黑" w:eastAsia="微软雅黑"/>
          <w:sz w:val="24"/>
          <w:szCs w:val="24"/>
        </w:rPr>
        <w:drawing>
          <wp:inline distT="0" distB="0" distL="0" distR="0">
            <wp:extent cx="5274310" cy="3955732"/>
            <wp:effectExtent l="0" t="0" r="0" b="0"/>
            <wp:docPr id="2" name="" descr=""/>
            <wp:cNvGraphicFramePr>
              <a:graphicFrameLocks noChangeAspect="true"/>
            </wp:cNvGraphicFramePr>
            <a:graphic>
              <a:graphicData uri="http://schemas.openxmlformats.org/drawingml/2006/picture">
                <pic:pic>
                  <pic:nvPicPr>
                    <pic:cNvPr id="2" name=""/>
                    <pic:cNvPicPr/>
                  </pic:nvPicPr>
                  <pic:blipFill>
                    <a:blip r:embed="rId10"/>
                    <a:stretch>
                      <a:fillRect/>
                    </a:stretch>
                  </pic:blipFill>
                  <pic:spPr>
                    <a:xfrm>
                      <a:off x="0" y="0"/>
                      <a:ext cx="5274310" cy="3955732"/>
                    </a:xfrm>
                    <a:prstGeom prst="rect">
                      <a:avLst/>
                    </a:prstGeom>
                  </pic:spPr>
                </pic:pic>
              </a:graphicData>
            </a:graphic>
          </wp:inline>
        </w:drawing>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在团结有爱互助上进的班集体内，同学们相互感染，为自己的目标努力前进。图书馆的自习室里，生物楼的考研教室里，甚至校园的每一个角落都有生科学子刻苦努力的身影。从烈日炎炎的夏日到寒风刺骨的冬日，每位生科学子的努力我们都看在眼里，15生工二班的张明慧同学日复一日坚持每天早上五点半就来生物楼学习，晚上十点以后再带着满满的收获心满意足地离开生物楼；胡慧玲同学在笔试成绩为中南大学基础医学第一名情况下，仍不放松分秒必争，每天都来生物楼准备复试，晚上十点在生物楼的走廊里，还依稀传出她朗朗的背书声。这些都是</w:t>
      </w:r>
      <w:r>
        <w:rPr>
          <w:rFonts w:ascii="Calibri" w:hAnsi="Calibri" w:eastAsia="Calibri"/>
          <w:sz w:val="21"/>
          <w:szCs w:val="21"/>
        </w:rPr>
        <w:t>15</w:t>
      </w:r>
      <w:r>
        <w:rPr>
          <w:rFonts w:ascii="宋体" w:hAnsi="宋体" w:eastAsia="宋体"/>
          <w:sz w:val="21"/>
          <w:szCs w:val="21"/>
        </w:rPr>
        <w:t>级生工二班同学们努力考研的缩影。</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“宝剑锋从磨砺出，梅花香自苦寒来。”每个对未来充满期待的生科学子，多半早早定下了目标，赢在起跑线，他们终收获了自己的芬芳。</w:t>
      </w:r>
    </w:p>
    <w:p>
      <w:pPr>
        <w:snapToGrid w:val="false"/>
        <w:spacing/>
        <w:ind/>
        <w:jc w:val="left"/>
        <w:rPr>
          <w:rFonts w:ascii="宋体" w:hAnsi="宋体" w:eastAsia="宋体"/>
          <w:sz w:val="21"/>
          <w:szCs w:val="21"/>
        </w:rPr>
      </w:pPr>
      <w:r>
        <w:rPr>
          <w:rFonts w:ascii="宋体" w:hAnsi="宋体" w:eastAsia="宋体"/>
          <w:sz w:val="21"/>
          <w:szCs w:val="21"/>
        </w:rPr>
      </w:r>
      <w:r>
        <w:rPr>
          <w:rFonts w:ascii="微软雅黑" w:hAnsi="微软雅黑" w:eastAsia="微软雅黑"/>
          <w:sz w:val="24"/>
          <w:szCs w:val="24"/>
        </w:rPr>
        <w:drawing>
          <wp:inline distT="0" distB="0" distL="0" distR="0">
            <wp:extent cx="5274310" cy="7032413"/>
            <wp:effectExtent l="0" t="0" r="0" b="0"/>
            <wp:docPr id="3" name="" descr=""/>
            <wp:cNvGraphicFramePr>
              <a:graphicFrameLocks noChangeAspect="true"/>
            </wp:cNvGraphicFramePr>
            <a:graphic>
              <a:graphicData uri="http://schemas.openxmlformats.org/drawingml/2006/picture">
                <pic:pic>
                  <pic:nvPicPr>
                    <pic:cNvPr id="3" name=""/>
                    <pic:cNvPicPr/>
                  </pic:nvPicPr>
                  <pic:blipFill>
                    <a:blip r:embed="rId11"/>
                    <a:stretch>
                      <a:fillRect/>
                    </a:stretch>
                  </pic:blipFill>
                  <pic:spPr>
                    <a:xfrm>
                      <a:off x="0" y="0"/>
                      <a:ext cx="5274310" cy="7032413"/>
                    </a:xfrm>
                    <a:prstGeom prst="rect">
                      <a:avLst/>
                    </a:prstGeom>
                  </pic:spPr>
                </pic:pic>
              </a:graphicData>
            </a:graphic>
          </wp:inline>
        </w:drawing>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考入了华东理工大学生物工程专业的罗珍同学在大二时就产生了考研的想法并明确了自己的目标院校，她在备考期间早起晚归钻研真题、套题，学习网课，及时和老师同学们交流以及时调整时刻保持积极的心态。她认为“找到适合自己状态最佳的学习方法，就不要受他人言语的影响，按自己的计划进行，对于他人的建议可以自行取舍。目标院校也要根据自己的情况选择，选择了就只管往前冲，这样才能防止走弯路。”</w:t>
      </w:r>
    </w:p>
    <w:p>
      <w:pPr>
        <w:snapToGrid w:val="false"/>
        <w:spacing/>
        <w:ind/>
        <w:jc w:val="both"/>
      </w:pPr>
      <w:r>
        <w:rPr>
          <w:rFonts w:ascii="微软雅黑" w:hAnsi="微软雅黑" w:eastAsia="微软雅黑"/>
          <w:sz w:val="24"/>
          <w:szCs w:val="24"/>
        </w:rPr>
      </w:r>
      <w:r>
        <w:rPr>
          <w:rFonts w:ascii="微软雅黑" w:hAnsi="微软雅黑" w:eastAsia="微软雅黑"/>
          <w:sz w:val="24"/>
          <w:szCs w:val="24"/>
        </w:rPr>
        <w:drawing>
          <wp:inline distT="0" distB="0" distL="0" distR="0">
            <wp:extent cx="5274310" cy="7379277"/>
            <wp:effectExtent l="0" t="0" r="0" b="0"/>
            <wp:docPr id="4" name="" descr=""/>
            <wp:cNvGraphicFramePr>
              <a:graphicFrameLocks noChangeAspect="true"/>
            </wp:cNvGraphicFramePr>
            <a:graphic>
              <a:graphicData uri="http://schemas.openxmlformats.org/drawingml/2006/picture">
                <pic:pic>
                  <pic:nvPicPr>
                    <pic:cNvPr id="4" name=""/>
                    <pic:cNvPicPr/>
                  </pic:nvPicPr>
                  <pic:blipFill>
                    <a:blip r:embed="rId12"/>
                    <a:stretch>
                      <a:fillRect/>
                    </a:stretch>
                  </pic:blipFill>
                  <pic:spPr>
                    <a:xfrm>
                      <a:off x="0" y="0"/>
                      <a:ext cx="5274310" cy="7379277"/>
                    </a:xfrm>
                    <a:prstGeom prst="rect">
                      <a:avLst/>
                    </a:prstGeom>
                  </pic:spPr>
                </pic:pic>
              </a:graphicData>
            </a:graphic>
          </wp:inline>
        </w:drawing>
      </w:r>
    </w:p>
    <w:p>
      <w:pPr>
        <w:snapToGrid w:val="false"/>
        <w:spacing/>
        <w:ind w:firstLineChars="200"/>
        <w:jc w:val="both"/>
      </w:pPr>
      <w:r>
        <w:rPr>
          <w:rFonts w:ascii="微软雅黑" w:hAnsi="微软雅黑" w:eastAsia="微软雅黑"/>
          <w:sz w:val="24"/>
          <w:szCs w:val="24"/>
        </w:rPr>
      </w:r>
      <w:r>
        <w:rPr>
          <w:rFonts w:ascii="宋体" w:hAnsi="宋体" w:eastAsia="宋体"/>
          <w:sz w:val="21"/>
          <w:szCs w:val="21"/>
        </w:rPr>
        <w:t>而考入厦门大学生物学专业的杨玉霞同学更是在大一时就有了考研的想法，她在考研期间坚持寝室、</w:t>
      </w:r>
      <w:r>
        <w:rPr>
          <w:rFonts w:ascii="宋体" w:hAnsi="宋体" w:eastAsia="宋体"/>
          <w:sz w:val="21"/>
          <w:szCs w:val="21"/>
        </w:rPr>
        <w:t>食堂</w:t>
      </w:r>
      <w:r>
        <w:rPr>
          <w:rFonts w:ascii="宋体" w:hAnsi="宋体" w:eastAsia="宋体"/>
          <w:sz w:val="21"/>
          <w:szCs w:val="21"/>
        </w:rPr>
        <w:t>、</w:t>
      </w:r>
      <w:r>
        <w:rPr>
          <w:rFonts w:ascii="宋体" w:hAnsi="宋体" w:eastAsia="宋体"/>
          <w:sz w:val="21"/>
          <w:szCs w:val="21"/>
        </w:rPr>
        <w:t>自习室三点一线的生活，并对考研准备工作做了详细且周全的计划，每天起早贪黑、不知疲倦地钻研真题和专业课本。她对学弟学妹说：“考研是公平的，你想要什么结果就要付出多少努力，若要一战成硕，唯有脚踏实地。”</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考研拼的就是毅力与自律，坚持了，才会有胜利的机会；拼的就是心态，良好的心态能保证正常甚至超常发挥。不管你复习到哪种程度，都不要焦躁，没有谁有底气说自己已经完全准备好了，只能说时刻准备着，笃定向着自己所认定的目标勇往直前。</w:t>
      </w:r>
    </w:p>
    <w:p>
      <w:pPr>
        <w:snapToGrid w:val="false"/>
        <w:spacing/>
        <w:ind/>
        <w:jc w:val="left"/>
        <w:rPr>
          <w:rFonts w:ascii="宋体" w:hAnsi="宋体" w:eastAsia="宋体"/>
          <w:sz w:val="21"/>
          <w:szCs w:val="21"/>
        </w:rPr>
      </w:pPr>
      <w:r>
        <w:rPr>
          <w:rFonts w:ascii="宋体" w:hAnsi="宋体" w:eastAsia="宋体"/>
          <w:sz w:val="21"/>
          <w:szCs w:val="21"/>
        </w:rPr>
      </w:r>
    </w:p>
    <w:p>
      <w:pPr>
        <w:snapToGrid w:val="false"/>
        <w:spacing/>
        <w:ind w:firstLineChars="200"/>
        <w:jc w:val="both"/>
        <w:rPr>
          <w:rFonts w:ascii="宋体" w:hAnsi="宋体" w:eastAsia="宋体"/>
          <w:sz w:val="21"/>
          <w:szCs w:val="21"/>
        </w:rPr>
      </w:pPr>
      <w:r>
        <w:rPr>
          <w:rFonts w:ascii="宋体" w:hAnsi="宋体" w:eastAsia="宋体"/>
          <w:sz w:val="21"/>
          <w:szCs w:val="21"/>
        </w:rPr>
      </w:r>
      <w:r>
        <w:rPr>
          <w:rFonts w:ascii="宋体" w:hAnsi="宋体" w:eastAsia="宋体"/>
          <w:sz w:val="21"/>
          <w:szCs w:val="21"/>
        </w:rPr>
        <w:t>相信未来辛勤的生科学子们，也能努力奋进后收获自己的芬芳。</w:t>
      </w:r>
    </w:p>
    <w:p>
      <w:pPr>
        <w:snapToGrid w:val="false"/>
        <w:spacing/>
        <w:ind/>
        <w:jc w:val="left"/>
        <w:rPr>
          <w:rFonts w:ascii="宋体" w:hAnsi="宋体" w:eastAsia="宋体"/>
          <w:sz w:val="21"/>
          <w:szCs w:val="21"/>
        </w:rPr>
      </w:pPr>
      <w:r>
        <w:rPr>
          <w:rFonts w:ascii="宋体" w:hAnsi="宋体" w:eastAsia="宋体"/>
          <w:sz w:val="21"/>
          <w:szCs w:val="21"/>
        </w:rPr>
      </w:r>
      <w:r>
        <w:rPr>
          <w:rFonts w:ascii="微软雅黑" w:hAnsi="微软雅黑" w:eastAsia="微软雅黑"/>
          <w:sz w:val="24"/>
          <w:szCs w:val="24"/>
        </w:rPr>
        <w:drawing>
          <wp:inline distT="0" distB="0" distL="0" distR="0">
            <wp:extent cx="4305300" cy="2876550"/>
            <wp:effectExtent l="0" t="0" r="0" b="0"/>
            <wp:docPr id="5" name="" descr=""/>
            <wp:cNvGraphicFramePr>
              <a:graphicFrameLocks noChangeAspect="true"/>
            </wp:cNvGraphicFramePr>
            <a:graphic>
              <a:graphicData uri="http://schemas.openxmlformats.org/drawingml/2006/picture">
                <pic:pic>
                  <pic:nvPicPr>
                    <pic:cNvPr id="5" name=""/>
                    <pic:cNvPicPr/>
                  </pic:nvPicPr>
                  <pic:blipFill>
                    <a:blip r:embed="rId13"/>
                    <a:srcRect l="0" t="24316" r="15100" b="0"/>
                    <a:stretch>
                      <a:fillRect/>
                    </a:stretch>
                  </pic:blipFill>
                  <pic:spPr>
                    <a:xfrm>
                      <a:off x="0" y="0"/>
                      <a:ext cx="4305300" cy="2876550"/>
                    </a:xfrm>
                    <a:prstGeom prst="rect">
                      <a:avLst/>
                    </a:prstGeom>
                  </pic:spPr>
                </pic:pic>
              </a:graphicData>
            </a:graphic>
          </wp:inline>
        </w:drawing>
      </w:r>
    </w:p>
    <w:p>
      <w:pPr>
        <w:snapToGrid w:val="false"/>
      </w:pPr>
    </w:p>
    <w:sectPr w:rsidR="00C604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37D43"/>
    <w:multiLevelType w:val="multilevel"/>
    <w:tmpl w:val="1E537D43"/>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1" w15:restartNumberingAfterBreak="0">
    <w:nsid w:val="323C7824"/>
    <w:multiLevelType w:val="multilevel"/>
    <w:tmpl w:val="323C782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2" w15:restartNumberingAfterBreak="0">
    <w:nsid w:val="513362E4"/>
    <w:multiLevelType w:val="multilevel"/>
    <w:tmpl w:val="513362E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3" w15:restartNumberingAfterBreak="0">
    <w:nsid w:val="5AA9370F"/>
    <w:multiLevelType w:val="multilevel"/>
    <w:tmpl w:val="5AA9370F"/>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 w15:restartNumberingAfterBreak="0">
    <w:nsid w:val="5AA93721"/>
    <w:multiLevelType w:val="multilevel"/>
    <w:tmpl w:val="5AA937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5"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6" w15:restartNumberingAfterBreak="0">
    <w:nsid w:val="5AA93847"/>
    <w:multiLevelType w:val="multilevel"/>
    <w:tmpl w:val="5AA93847"/>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7" w15:restartNumberingAfterBreak="0">
    <w:nsid w:val="5AA9385D"/>
    <w:multiLevelType w:val="multilevel"/>
    <w:tmpl w:val="5AA9385D"/>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8" w15:restartNumberingAfterBreak="0">
    <w:nsid w:val="5AA93871"/>
    <w:multiLevelType w:val="multilevel"/>
    <w:tmpl w:val="5AA9387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9" w15:restartNumberingAfterBreak="0">
    <w:nsid w:val="5AA93884"/>
    <w:multiLevelType w:val="multilevel"/>
    <w:tmpl w:val="5AA9388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0" w15:restartNumberingAfterBreak="0">
    <w:nsid w:val="5AA938A6"/>
    <w:multiLevelType w:val="multilevel"/>
    <w:tmpl w:val="5AA938A6"/>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1" w15:restartNumberingAfterBreak="0">
    <w:nsid w:val="5AA938BA"/>
    <w:multiLevelType w:val="multilevel"/>
    <w:tmpl w:val="5AA938B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2" w15:restartNumberingAfterBreak="0">
    <w:nsid w:val="5AA939C1"/>
    <w:multiLevelType w:val="multilevel"/>
    <w:tmpl w:val="5AA939C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3" w15:restartNumberingAfterBreak="0">
    <w:nsid w:val="5AA939F5"/>
    <w:multiLevelType w:val="multilevel"/>
    <w:tmpl w:val="5AA939F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4" w15:restartNumberingAfterBreak="0">
    <w:nsid w:val="5AA93A09"/>
    <w:multiLevelType w:val="multilevel"/>
    <w:tmpl w:val="5AA93A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5" w15:restartNumberingAfterBreak="0">
    <w:nsid w:val="5AA9DAE5"/>
    <w:multiLevelType w:val="multilevel"/>
    <w:tmpl w:val="5AA9DAE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6" w15:restartNumberingAfterBreak="0">
    <w:nsid w:val="5AA9DAF8"/>
    <w:multiLevelType w:val="multilevel"/>
    <w:tmpl w:val="5AA9DAF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7" w15:restartNumberingAfterBreak="0">
    <w:nsid w:val="5AA9DB09"/>
    <w:multiLevelType w:val="multilevel"/>
    <w:tmpl w:val="5AA9DB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8" w15:restartNumberingAfterBreak="0">
    <w:nsid w:val="5AA9DB19"/>
    <w:multiLevelType w:val="multilevel"/>
    <w:tmpl w:val="5AA9DB1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9" w15:restartNumberingAfterBreak="0">
    <w:nsid w:val="5AA9DB29"/>
    <w:multiLevelType w:val="multilevel"/>
    <w:tmpl w:val="5AA9DB2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0" w15:restartNumberingAfterBreak="0">
    <w:nsid w:val="5AA9DB3A"/>
    <w:multiLevelType w:val="multilevel"/>
    <w:tmpl w:val="5AA9DB3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1" w15:restartNumberingAfterBreak="0">
    <w:nsid w:val="5AA9DB4A"/>
    <w:multiLevelType w:val="multilevel"/>
    <w:tmpl w:val="5AA9DB4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2" w15:restartNumberingAfterBreak="0">
    <w:nsid w:val="5AA9DB5A"/>
    <w:multiLevelType w:val="multilevel"/>
    <w:tmpl w:val="5AA9DB5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3" w15:restartNumberingAfterBreak="0">
    <w:nsid w:val="5AA9DC10"/>
    <w:multiLevelType w:val="multilevel"/>
    <w:tmpl w:val="5AA9DC10"/>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4" w15:restartNumberingAfterBreak="0">
    <w:nsid w:val="5AA9DC21"/>
    <w:multiLevelType w:val="multilevel"/>
    <w:tmpl w:val="5AA9DC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5" w15:restartNumberingAfterBreak="0">
    <w:nsid w:val="5AA9DC48"/>
    <w:multiLevelType w:val="multilevel"/>
    <w:tmpl w:val="5AA9DC4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6" w15:restartNumberingAfterBreak="0">
    <w:nsid w:val="5AA9DC59"/>
    <w:multiLevelType w:val="multilevel"/>
    <w:tmpl w:val="5AA9DC5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7" w15:restartNumberingAfterBreak="0">
    <w:nsid w:val="5AA9DD04"/>
    <w:multiLevelType w:val="multilevel"/>
    <w:tmpl w:val="5AA9DD0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8" w15:restartNumberingAfterBreak="0">
    <w:nsid w:val="5AA9DD14"/>
    <w:multiLevelType w:val="multilevel"/>
    <w:tmpl w:val="5AA9DD1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9" w15:restartNumberingAfterBreak="0">
    <w:nsid w:val="5AA9DD24"/>
    <w:multiLevelType w:val="multilevel"/>
    <w:tmpl w:val="5AA9DD2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0" w15:restartNumberingAfterBreak="0">
    <w:nsid w:val="5B4947AB"/>
    <w:multiLevelType w:val="multilevel"/>
    <w:tmpl w:val="5B4947AB"/>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num w:numId="1">
    <w:abstractNumId w:val="30"/>
  </w:num>
  <w:num w:numId="2">
    <w:abstractNumId w:val="5"/>
  </w:num>
  <w:num w:numId="3">
    <w:abstractNumId w:val="3"/>
  </w:num>
  <w:num w:numId="4">
    <w:abstractNumId w:val="4"/>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1"/>
  </w:num>
  <w:num w:numId="30">
    <w:abstractNumId w:val="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C51B7"/>
    <w:rsid w:val="00216EB9"/>
    <w:rsid w:val="0059531B"/>
    <w:rsid w:val="00616505"/>
    <w:rsid w:val="0062213C"/>
    <w:rsid w:val="00633F40"/>
    <w:rsid w:val="006549AD"/>
    <w:rsid w:val="00684D9C"/>
    <w:rsid w:val="00A60633"/>
    <w:rsid w:val="00BA0C1A"/>
    <w:rsid w:val="00C061CB"/>
    <w:rsid w:val="00C604EC"/>
    <w:rsid w:val="00E26251"/>
    <w:rsid w:val="00EA1EE8"/>
    <w:rsid w:val="00F53662"/>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5:docId w15:val="{20DE070A-6068-41E9-B520-D45B669F5A4D}"/>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w:docDefaults>
    <w:rPrDefault>
      <w:rPr>
        <w:rFonts w:asciiTheme="minorHAnsi" w:hAnsiTheme="minorHAnsi" w:eastAsiaTheme="minorEastAsia" w:cstheme="minorBidi"/>
        <w:lang w:val="en-US" w:eastAsia="zh-CN"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nhideWhenUsed="true" w:qFormat="true"/>
    <w:lsdException w:name="footer" w:unhideWhenUsed="true" w:qFormat="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unhideWhenUsed="true" w:qFormat="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qFormat="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semiHidden="true" w:unhideWhenUsed="true" w:qFormat="true"/>
    <w:lsdException w:name="Table Theme" w:semiHidden="true" w:unhideWhenUsed="true"/>
    <w:lsdException w:name="Placeholder Text" w:semiHidden="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true">
    <w:name w:val="Normal"/>
    <w:qFormat/>
    <w:pPr>
      <w:widowControl w:val="false"/>
      <w:jc w:val="both"/>
    </w:pPr>
    <w:rPr>
      <w:kern w:val="2"/>
      <w:sz w:val="21"/>
      <w:szCs w:val="22"/>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a3">
    <w:name w:val="footer"/>
    <w:basedOn w:val="a"/>
    <w:link w:val="a4"/>
    <w:uiPriority w:val="99"/>
    <w:unhideWhenUsed/>
    <w:qFormat/>
    <w:pPr>
      <w:tabs>
        <w:tab w:val="center" w:pos="4153"/>
        <w:tab w:val="right" w:pos="8306"/>
      </w:tabs>
      <w:snapToGrid w:val="false"/>
      <w:jc w:val="left"/>
    </w:pPr>
    <w:rPr>
      <w:sz w:val="18"/>
      <w:szCs w:val="18"/>
    </w:rPr>
  </w:style>
  <w:style w:type="paragraph" w:styleId="a5">
    <w:name w:val="header"/>
    <w:basedOn w:val="a"/>
    <w:link w:val="a6"/>
    <w:uiPriority w:val="99"/>
    <w:unhideWhenUsed/>
    <w:qFormat/>
    <w:pPr>
      <w:pBdr>
        <w:bottom w:val="single" w:color="auto" w:sz="6" w:space="1"/>
      </w:pBdr>
      <w:tabs>
        <w:tab w:val="center" w:pos="4153"/>
        <w:tab w:val="right" w:pos="8306"/>
      </w:tabs>
      <w:snapToGrid w:val="false"/>
      <w:jc w:val="center"/>
    </w:pPr>
    <w:rPr>
      <w:sz w:val="18"/>
      <w:szCs w:val="18"/>
    </w:rPr>
  </w:style>
  <w:style w:type="table" w:styleId="a7">
    <w:name w:val="Table Grid"/>
    <w:basedOn w:val="a1"/>
    <w:uiPriority w:val="59"/>
    <w:qFormat/>
    <w:pPr>
      <w:widowControl w:val="false"/>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6" w:customStyle="true">
    <w:name w:val="页眉 字符"/>
    <w:basedOn w:val="a0"/>
    <w:link w:val="a5"/>
    <w:uiPriority w:val="99"/>
    <w:semiHidden/>
    <w:qFormat/>
    <w:rPr>
      <w:sz w:val="18"/>
      <w:szCs w:val="18"/>
    </w:rPr>
  </w:style>
  <w:style w:type="character" w:styleId="a4" w:customStyle="true">
    <w:name w:val="页脚 字符"/>
    <w:basedOn w:val="a0"/>
    <w:link w:val="a3"/>
    <w:uiPriority w:val="99"/>
    <w:semiHidden/>
    <w:qFormat/>
    <w:rPr>
      <w:sz w:val="18"/>
      <w:szCs w:val="18"/>
    </w:rPr>
  </w:style>
  <w:style w:type="paragraph" w:styleId="a8">
    <w:name w:val="List Paragraph"/>
    <w:basedOn w:val="a"/>
    <w:uiPriority w:val="34"/>
    <w:qFormat/>
    <w:pPr>
      <w:ind w:firstLine="420" w:firstLineChars="200"/>
    </w:pPr>
  </w:style>
  <w:style w:type="paragraph" w:styleId="t1">
    <w:name w:val="Title"/>
    <w:basedOn w:val="a"/>
    <w:next w:val="a"/>
    <w:uiPriority w:val="10"/>
    <w:qFormat/>
    <w:rsid w:val="001C768A"/>
    <w:pPr>
      <w:spacing w:before="240" w:after="60"/>
      <w:jc w:val="center"/>
      <w:outlineLvl w:val="0"/>
    </w:pPr>
    <w:rPr>
      <w:rFonts w:asciiTheme="majorHAnsi" w:hAnsiTheme="majorHAnsi" w:eastAsiaTheme="majorEastAsia" w:cstheme="majorBidi"/>
      <w:b/>
      <w:bCs/>
      <w:sz w:val="32"/>
      <w:szCs w:val="32"/>
    </w:rPr>
  </w:style>
  <w:style w:type="paragraph" w:styleId="t2">
    <w:name w:val="Subtitle"/>
    <w:basedOn w:val="a"/>
    <w:next w:val="a"/>
    <w:uiPriority w:val="11"/>
    <w:qFormat/>
    <w:rsid w:val="001C768A"/>
    <w:pPr>
      <w:spacing w:before="240" w:after="60" w:line="312" w:lineRule="auto"/>
      <w:jc w:val="center"/>
      <w:outlineLvl w:val="1"/>
    </w:pPr>
    <w:rPr>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Relationships xmlns="http://schemas.openxmlformats.org/package/2006/relationships"><Relationship Target="theme/theme1.xml" Type="http://schemas.openxmlformats.org/officeDocument/2006/relationships/theme" Id="rId8"/><Relationship Target="numbering.xml" Type="http://schemas.openxmlformats.org/officeDocument/2006/relationships/numbering" Id="rId3"/><Relationship Target="fontTable.xml" Type="http://schemas.openxmlformats.org/officeDocument/2006/relationships/fontTable" Id="rId7"/><Relationship Target="../customXml/item2.xml" Type="http://schemas.openxmlformats.org/officeDocument/2006/relationships/customXml" Id="rId2"/><Relationship Target="../customXml/item1.xml" Type="http://schemas.openxmlformats.org/officeDocument/2006/relationships/customXml" Id="rId1"/><Relationship Target="webSettings.xml" Type="http://schemas.openxmlformats.org/officeDocument/2006/relationships/webSettings" Id="rId6"/><Relationship Target="settings.xml" Type="http://schemas.openxmlformats.org/officeDocument/2006/relationships/settings" Id="rId5"/><Relationship Target="styles.xml" Type="http://schemas.openxmlformats.org/officeDocument/2006/relationships/styles" Id="rId4"/><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s>
</file>

<file path=customXml/_rels/item2.xml.rels><?xml version="1.0" encoding="UTF-8" standalone="yes"?><Relationships xmlns="http://schemas.openxmlformats.org/package/2006/relationships"><Relationship Target="itemProps2.xml" Type="http://schemas.openxmlformats.org/officeDocument/2006/relationships/customXmlProps" Id="rId1"/></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Microsoft</properties:Company>
  <properties:Pages>1</properties:Pages>
  <properties:Words>18</properties:Words>
  <properties:Characters>106</properties:Characters>
  <properties:Lines>1</properties:Lines>
  <properties:Paragraphs>1</properties:Paragraphs>
  <properties:TotalTime>1</properties:TotalTime>
  <properties:ScaleCrop>false</properties:ScaleCrop>
  <properties:LinksUpToDate>false</properties:LinksUpToDate>
  <properties:CharactersWithSpaces>123</properties:CharactersWithSpaces>
  <properties:SharedDoc>false</properties:SharedDoc>
  <properties:HyperlinksChanged>false</properties:HyperlinksChanged>
  <properties:Application>Tencent</properties:Application>
  <properties:AppVersion>3.3</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2017-01-10T09:10:00Z</dcterms:created>
  <dc:creator>Tencent</dc:creator>
  <cp:lastModifiedBy>Tencent</cp:lastModifiedBy>
  <dcterms:modified xmlns:xsi="http://www.w3.org/2001/XMLSchema-instance" xsi:type="dcterms:W3CDTF">2018-12-10T07:40:00Z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